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  <w:tblGridChange w:id="0">
          <w:tblGrid>
            <w:gridCol w:w="161"/>
            <w:gridCol w:w="2309"/>
            <w:gridCol w:w="2204"/>
            <w:gridCol w:w="1470"/>
            <w:gridCol w:w="390"/>
            <w:gridCol w:w="3101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FreeSerif" w:cs="FreeSerif" w:eastAsia="FreeSerif" w:hAnsi="FreeSerif"/>
                <w:color w:val="666666"/>
                <w:sz w:val="18"/>
                <w:szCs w:val="18"/>
              </w:rPr>
              <w:drawing>
                <wp:inline distB="0" distT="0" distL="0" distR="0">
                  <wp:extent cx="2898775" cy="1009015"/>
                  <wp:effectExtent b="0" l="0" r="0" t="0"/>
                  <wp:docPr id="2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-500" l="-176" r="-177" t="-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551815" cy="586740"/>
                  <wp:effectExtent b="0" l="0" r="0" t="0"/>
                  <wp:docPr id="2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-255" l="-281" r="-276" t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1527175" cy="370840"/>
                  <wp:effectExtent b="0" l="0" r="0" t="0"/>
                  <wp:docPr id="26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-276" l="-67" r="-65" t="-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6"/>
                <w:szCs w:val="16"/>
                <w:rtl w:val="0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PIANO DI LAVORO ANNUALE DEL DOCENTE A.S. 20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4muz54wz7ni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i4gvvmky6lf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cognome della docente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Giada Dal Canto</w:t>
      </w:r>
    </w:p>
    <w:p w:rsidR="00000000" w:rsidDel="00000000" w:rsidP="00000000" w:rsidRDefault="00000000" w:rsidRPr="00000000" w14:paraId="0000001B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jrsf0v17y9u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l4ln8tk5f5mi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Disciplina insegnata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Religione</w:t>
      </w:r>
    </w:p>
    <w:p w:rsidR="00000000" w:rsidDel="00000000" w:rsidP="00000000" w:rsidRDefault="00000000" w:rsidRPr="00000000" w14:paraId="0000001D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kz53r8dcjmb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Libro di testo in uso: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Solinas L., Noi domani, Sei editrice </w:t>
      </w:r>
    </w:p>
    <w:p w:rsidR="00000000" w:rsidDel="00000000" w:rsidP="00000000" w:rsidRDefault="00000000" w:rsidRPr="00000000" w14:paraId="0000001F">
      <w:pPr>
        <w:keepNext w:val="1"/>
        <w:tabs>
          <w:tab w:val="left" w:leader="none" w:pos="708"/>
        </w:tabs>
        <w:ind w:left="43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Classe e Sezione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3O</w:t>
      </w:r>
    </w:p>
    <w:p w:rsidR="00000000" w:rsidDel="00000000" w:rsidP="00000000" w:rsidRDefault="00000000" w:rsidRPr="00000000" w14:paraId="00000021">
      <w:pPr>
        <w:keepNext w:val="1"/>
        <w:tabs>
          <w:tab w:val="left" w:leader="none" w:pos="70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Indirizzo di studio: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Operatore del benessere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Competenze che si intendono sviluppare o traguardi di competenza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Sviluppare un maturo senso critico e un personale progetto di vita, riflettendo sulla propria identità nel confronto con il messaggio cristiano, aperto all'esercizio della giustizia e della solidarietà. Cogliere i segni del cristianesimo e il loro significato nella cultura e nelle tradizioni in relazione alla propria figura professionale. Confrontarsi, in relazione alla propria figura professionale, con i principi del Vangelo e la dottrina sociale della Chiesa.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Descrizione di conoscenze e abilità, suddivise in percorsi didattici, evidenziando per ognuna quelle essenziali o minime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1: La vita come progetto: in cammino verso la realizzazione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Prendere consapevolezza dell’importanza di costruire attivamente il proprio progetto di vita, tenendo conto della complessità degli aspetti della vita umana, esistenziale e sociale. Confrontarsi con i valori della proposta cristiana.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Prendere consapevolezza del contesto interculturale e interreligioso attraverso la cultura dell’epoca moderna e della società contemporanea. Aspetti etici. Il proprio progetto di vita. Conoscenza dei concetti di etica, libertà, giustizia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Saper sviluppare una coscienza critica e sistematica della propria esperienza esistenziale, soprattutto in rapporto ai grandi interrogativi del significato; misurarsi con i problemi dell’età moderna e contemporanea. Individuare i nuclei fondanti per il proprio futuro. Capacità di operare scelte consapevoli.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Prendere consapevolezza dell’importanza di costruire attivamente il proprio progetto di vita e confrontarsi con i valori della proposta cristiana.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2: Tra diversità e disuguaglianza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sull’esistenza di una diversità buona e arricchente, contrastata dal conformismo, e l’esistenza di una diversità negativa e depauperante, detta anche disuguaglianza, contrastabile invece con l’equità. Confrontare tali questioni con il sistema di valori cristiano.</w:t>
      </w:r>
    </w:p>
    <w:p w:rsidR="00000000" w:rsidDel="00000000" w:rsidP="00000000" w:rsidRDefault="00000000" w:rsidRPr="00000000" w14:paraId="0000003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Riflettere sulla varietà degli aspetti della vita umana che rendono unica la persona nella società odierna.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la varietà degli aspetti della vita umana, soprattutto civili e sociali, che sono causa di ingiusta disuguaglianza, attraverso l’Agenda 2030</w:t>
      </w:r>
    </w:p>
    <w:p w:rsidR="00000000" w:rsidDel="00000000" w:rsidP="00000000" w:rsidRDefault="00000000" w:rsidRPr="00000000" w14:paraId="0000003F">
      <w:pPr>
        <w:tabs>
          <w:tab w:val="center" w:leader="none" w:pos="4819"/>
          <w:tab w:val="right" w:leader="none" w:pos="9638"/>
        </w:tabs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riconoscere e difendere gli elementi di peculiarità della persona umana. Saper distinguere una diversità che arricchisce e una diversità che esclude. Analizzare criticamente gli elementi di disuguaglianza presenti nella società odierna e le buone pratiche esistenti volte a costruire uguaglianza ed equità.</w:t>
      </w:r>
    </w:p>
    <w:p w:rsidR="00000000" w:rsidDel="00000000" w:rsidP="00000000" w:rsidRDefault="00000000" w:rsidRPr="00000000" w14:paraId="0000004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criticamente sui concetti di diversità, conformismo, rispetto, disuguaglianza, equità.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Tipologie di verifica, elaborati ed esercitazioni 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[Indicare un eventuale orientamento personale diverso da quello inserito nel PTOF e specificare quali hanno carattere formativo e quale sommativo]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verifica dell’apprendimento verrà fatta con modalità differenziate, prendendo in considerazione: 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le problematiche della classe, cioè la situazione di partenza, la disponibilità e l’interesse, le dinamiche di partecipazione, l’impegno, il comportamento in classe in termini di attenzione, il rispetto dimostrato per le regole base della vita scolastica, e il grado di socializzazione;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tipo di contenuti trattati, la loro modalità di esposizione ed il metodo generale di insegnamento adottato;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grado di complessità degli argomenti e il loro progressivo approfondimento all’interno del percorso scolastico;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la collocazione oraria della materia e il calendario scolastico;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l’interdisciplinarità e le attività integrative complementari e anche facoltative. 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Saranno utilizzati i seguenti strumenti di verifica:</w:t>
        <w:br w:type="textWrapping"/>
        <w:t xml:space="preserve"> - giudizio sugli interventi spontanei (o sollecitati dall’insegnante) di partecipazione al dialogo educativo (per chiarimenti e approfondimenti) e sulla presentazione orale dei contenuti da parte dei ragazzi nel corso di dibattiti guidati;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verifica delle riflessioni personali e delle ricerche individuali o di gruppo svolte a partire da sussidi preparati dall’insegnante oppure su temi scelti dagli studenti e concordati con l’insegnante;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valutazione del modo con cui gli studenti assistono alla lezione, secondo l’interesse, la partecipazione attiva e/o passiva, il coinvolgimento e l’attenzione.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Criteri per le valutazioni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 tutti i criteri di valutazione deliberati nel Ptof aggiornamento triennale 22/25; indicare solo le variazioni rispetto a quanto inserito nel PTOF))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Poiché l’Irc esprime la valutazione per l’interesse, la partecipazione e il profitto di ogni allievo con modalità diverse dalle altre discipline e in sintonia con le disposizioni che specificano la modalità formale di presentazione della Nota di valutazione per la materia (cm 17/10/86, n.286; cm 21/01/87, n. 11) si valuteranno gli allievi secondo la seguente griglia: 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- Livello di conoscenza: scarsa conoscenza/conoscenza superficiale e frammentaria. Interesse: scarso/discontinuo e superficiale.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non ha conseguito le abilità richieste/qualche abilità utilizzata con incertezza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Insufficiente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 - Livello di conoscenza: conosce gli argomenti fondamentali. Interesse: costante ma, a volte, superficiale.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comprende e rielabora testi semplici/risponde in modo pertinente alle domande/comprende ed utilizza i termini specifici di base in modo sufficientemente corretto.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Sufficiente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 - Livello di conoscenza: conosce e sa rielaborare i contenuti. Interesse: alterno/vivace.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su richiesta dell'insegnante /risponde in modo appropriato/non sempre utilizza i termini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D- Livello di conoscenza: conosce e sa rielaborare in modo personale i contenuti. Interesse: costante/vivace.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in modo opportuno/risponde in modo logico ed appropriato/utilizza i termini specifici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- Livello di conoscenza: conosce in modo approfondito gli argomenti fondamentali/dimostra una conoscenza complessiva di tutti gli argomenti. Interesse: costante/vivace.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organizza autonomamente le conoscenze/analizza e valuta criticamente contenuti e procedure/rielabora in modo personale i contenuti e propone riflessioni critiche/comprende ed utilizza in modo corretto i termini specifici.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Moltissimo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Metodi e strategie didattiche 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(in particolare indicare quelle finalizzate a mantenere l’interesse, a sviluppare la motivazione all’apprendimento, al recupero di conoscenze e abilità, al raggiungimento di obiettivi di competenza)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strategie di insegnamento privilegiate sono quelle esperienziali-induttive, per mezzo delle quali si stimolano e si coinvolgono gli studenti ad un apprendimento attivo e significativo. Le tecniche di insegnamento utilizzate sono: brevi lezioni frontali; lettura a voce alta di brani tratti dal libro di testo o da quotidiani o da altri sussidi; dibattiti guidati dall’insegnante; attività in cooperative learning;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apparsa evidente la necessità di integrare il libro in adozione con informazioni, esplicitazioni e aggiornamenti che tengano maggiormente conto del contesto sociale e culturale nel suo evolversi. Si farà uso di scritti tratti dai mass-media, dall’ambito letterario, dalle opere del pensiero e dall’ambito artistico italiano ed estero.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Infine, ci si avvarrà di alcuni sussidi audiovisivi, quali slides, documentari, film e altro, che saranno presentati, commentati e discussi con tutta la classe.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ritengono strumenti alternativamente utili al processo d’insegnamento e apprendimento i seguenti: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lavagna, LIM, fotocopie, articoli tratti da quotidiani o da altri mass media.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 corso dell’anno scolastico saranno perciò utilizzati questi spazi e mezzi della scuola: aula video, laboratori informatici.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Pisa li 22/11/2023</w:t>
        <w:tab/>
        <w:t xml:space="preserve">                                   La docente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Giada Dal Canto</w:t>
      </w:r>
    </w:p>
    <w:sectPr>
      <w:pgSz w:h="16838" w:w="11906" w:orient="portrait"/>
      <w:pgMar w:bottom="1134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72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72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numPr>
        <w:numId w:val="1"/>
      </w:numPr>
      <w:spacing w:after="100" w:before="100"/>
      <w:jc w:val="center"/>
      <w:outlineLvl w:val="0"/>
    </w:pPr>
    <w:rPr>
      <w:rFonts w:ascii="Tahoma" w:cs="Tahoma" w:hAnsi="Tahoma"/>
      <w:b w:val="1"/>
      <w:i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numPr>
        <w:ilvl w:val="3"/>
        <w:numId w:val="1"/>
      </w:numPr>
      <w:spacing w:after="100" w:before="100"/>
      <w:outlineLvl w:val="3"/>
    </w:pPr>
    <w:rPr>
      <w:rFonts w:ascii="Tahoma" w:cs="Tahoma" w:hAnsi="Tahoma"/>
      <w:b w:val="1"/>
      <w:sz w:val="20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Times New Roman" w:cs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character" w:styleId="WW8Num2z1" w:customStyle="1">
    <w:name w:val="WW8Num2z1"/>
    <w:rPr>
      <w:rFonts w:ascii="Times New Roman" w:cs="Times New Roman" w:hAnsi="Times New Roman"/>
      <w:b w:val="0"/>
      <w:i w:val="0"/>
      <w:sz w:val="22"/>
    </w:rPr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Calibri" w:cs="Arial" w:hAnsi="Calibri"/>
      <w:b w:val="1"/>
      <w:sz w:val="20"/>
      <w:szCs w:val="18"/>
    </w:rPr>
  </w:style>
  <w:style w:type="character" w:styleId="WW8Num3z1" w:customStyle="1">
    <w:name w:val="WW8Num3z1"/>
  </w:style>
  <w:style w:type="character" w:styleId="WW8Num4z0" w:customStyle="1">
    <w:name w:val="WW8Num4z0"/>
    <w:rPr>
      <w:rFonts w:ascii="Calibri" w:cs="Times New Roman" w:eastAsia="Calibri" w:hAnsi="Calibri"/>
      <w:sz w:val="24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4z3" w:customStyle="1">
    <w:name w:val="WW8Num4z3"/>
    <w:rPr>
      <w:rFonts w:ascii="Symbol" w:cs="Symbol" w:hAnsi="Symbol"/>
    </w:rPr>
  </w:style>
  <w:style w:type="character" w:styleId="Carpredefinitoparagrafo1" w:customStyle="1">
    <w:name w:val="Car. predefinito paragrafo1"/>
  </w:style>
  <w:style w:type="character" w:styleId="Titolo1Carattere" w:customStyle="1">
    <w:name w:val="Titolo 1 Carattere"/>
    <w:basedOn w:val="Carpredefinitoparagrafo1"/>
    <w:rPr>
      <w:rFonts w:ascii="Tahoma" w:cs="Tahoma" w:eastAsia="Times New Roman" w:hAnsi="Tahoma"/>
      <w:b w:val="1"/>
      <w:i w:val="1"/>
      <w:color w:val="000000"/>
    </w:rPr>
  </w:style>
  <w:style w:type="character" w:styleId="Titolo4Carattere" w:customStyle="1">
    <w:name w:val="Titolo 4 Carattere"/>
    <w:basedOn w:val="Carpredefinitoparagrafo1"/>
    <w:rPr>
      <w:rFonts w:ascii="Tahoma" w:cs="Tahoma" w:eastAsia="Times New Roman" w:hAnsi="Tahoma"/>
      <w:b w:val="1"/>
      <w:color w:val="000000"/>
      <w:sz w:val="20"/>
    </w:rPr>
  </w:style>
  <w:style w:type="character" w:styleId="Caratteredellanota" w:customStyle="1">
    <w:name w:val="Carattere della nota"/>
    <w:basedOn w:val="Carpredefinitoparagrafo1"/>
    <w:rPr>
      <w:vertAlign w:val="superscript"/>
    </w:rPr>
  </w:style>
  <w:style w:type="character" w:styleId="Rimandonotaapidipagina1" w:customStyle="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styleId="CorpodeltestoCarattere" w:customStyle="1">
    <w:name w:val="Corpo del testo Carattere"/>
    <w:basedOn w:val="Carpredefinitoparagrafo1"/>
    <w:rPr>
      <w:rFonts w:ascii="Times New Roman" w:cs="Calibri" w:eastAsia="Times New Roman" w:hAnsi="Times New Roman"/>
      <w:color w:val="000000"/>
      <w:sz w:val="26"/>
    </w:rPr>
  </w:style>
  <w:style w:type="character" w:styleId="TestonotaapidipaginaCarattere" w:customStyle="1">
    <w:name w:val="Testo nota a piè di pagina Carattere"/>
    <w:basedOn w:val="Carpredefinitoparagrafo1"/>
    <w:rPr>
      <w:rFonts w:ascii="Times New Roman" w:cs="Calibri" w:eastAsia="Times New Roman" w:hAnsi="Times New Roman"/>
      <w:color w:val="000000"/>
      <w:sz w:val="20"/>
    </w:rPr>
  </w:style>
  <w:style w:type="character" w:styleId="PidipaginaCarattere" w:customStyle="1">
    <w:name w:val="Piè di pagina Carattere"/>
    <w:basedOn w:val="Carpredefinitoparagrafo1"/>
    <w:rPr>
      <w:rFonts w:ascii="Cambria" w:cs="Cambria" w:eastAsia="Cambria" w:hAnsi="Cambria"/>
      <w:color w:val="000000"/>
      <w:szCs w:val="24"/>
    </w:rPr>
  </w:style>
  <w:style w:type="character" w:styleId="TestofumettoCarattere" w:customStyle="1">
    <w:name w:val="Testo fumetto Carattere"/>
    <w:basedOn w:val="Carpredefinitoparagrafo1"/>
    <w:rPr>
      <w:rFonts w:ascii="Tahoma" w:cs="Tahoma" w:eastAsia="Times New Roman" w:hAnsi="Tahoma"/>
      <w:color w:val="000000"/>
      <w:sz w:val="16"/>
      <w:szCs w:val="16"/>
    </w:rPr>
  </w:style>
  <w:style w:type="paragraph" w:styleId="Intestazione2" w:customStyle="1">
    <w:name w:val="Intestazione2"/>
    <w:basedOn w:val="Normale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styleId="Intestazione1" w:customStyle="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cs="Cambria" w:eastAsia="Cambria" w:hAnsi="Cambria"/>
      <w:sz w:val="24"/>
      <w:szCs w:val="24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qFormat w:val="1"/>
    <w:pPr>
      <w:suppressAutoHyphens w:val="0"/>
      <w:spacing w:after="200" w:line="276" w:lineRule="auto"/>
      <w:ind w:left="720"/>
    </w:pPr>
    <w:rPr>
      <w:rFonts w:ascii="Calibri" w:cs="Times New Roman" w:eastAsia="Calibri" w:hAnsi="Calibri"/>
      <w:sz w:val="22"/>
      <w:szCs w:val="22"/>
    </w:rPr>
  </w:style>
  <w:style w:type="paragraph" w:styleId="Contenutotabella" w:customStyle="1">
    <w:name w:val="Contenuto tabella"/>
    <w:basedOn w:val="Normale"/>
    <w:qFormat w:val="1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LfULQzSNbElXrL9msAj3rq8ubg==">CgMxLjAyCGguZ2pkZ3hzMg5oLjRtdXo1NHd6N25pNzIOaC4xaTRndnZta3k2bGYyDmguanJzZjB2MTd5OXVwMg5oLmw0bG44dGs1ZjVtaTIOaC5rejUzcjhkY2ptYmI4AHIhMXpNVmJwVklTQ2hLekJzbE1oZTRSazd0YjNuQTZ0TUdV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2022-10-09T10:42:00Z</dcterms:created>
  <dc:creator>fiber</dc:creator>
</cp:coreProperties>
</file>